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08D" w:rsidRDefault="006A108D" w:rsidP="006A108D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Postup při volbách</w:t>
      </w:r>
      <w:r w:rsidRPr="006A108D"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t>členů</w:t>
      </w:r>
      <w:r w:rsidR="007478E7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44179B">
        <w:rPr>
          <w:rFonts w:ascii="Arial" w:hAnsi="Arial" w:cs="Arial"/>
          <w:b/>
          <w:color w:val="0070C0"/>
          <w:sz w:val="28"/>
          <w:szCs w:val="28"/>
        </w:rPr>
        <w:t xml:space="preserve">Komise pro </w:t>
      </w:r>
      <w:r w:rsidR="00F451E5">
        <w:rPr>
          <w:rFonts w:ascii="Arial" w:hAnsi="Arial" w:cs="Arial"/>
          <w:b/>
          <w:color w:val="0070C0"/>
          <w:sz w:val="28"/>
          <w:szCs w:val="28"/>
        </w:rPr>
        <w:t>problematiku klimatu</w:t>
      </w:r>
      <w:r w:rsidRPr="006A108D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:rsidR="006A108D" w:rsidRDefault="006A108D" w:rsidP="006A108D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2D4FC6" w:rsidRDefault="00F451E5" w:rsidP="0044445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Komisi pro problematiku klimatu</w:t>
      </w:r>
      <w:r w:rsidRPr="002D29EB">
        <w:rPr>
          <w:rFonts w:ascii="Arial" w:hAnsi="Arial" w:cs="Arial"/>
          <w:sz w:val="22"/>
          <w:szCs w:val="22"/>
        </w:rPr>
        <w:t xml:space="preserve"> ustav</w:t>
      </w:r>
      <w:r>
        <w:rPr>
          <w:rFonts w:ascii="Arial" w:hAnsi="Arial" w:cs="Arial"/>
          <w:sz w:val="22"/>
          <w:szCs w:val="22"/>
        </w:rPr>
        <w:t>ila</w:t>
      </w:r>
      <w:r w:rsidRPr="002D29EB">
        <w:rPr>
          <w:rFonts w:ascii="Arial" w:hAnsi="Arial" w:cs="Arial"/>
          <w:sz w:val="22"/>
          <w:szCs w:val="22"/>
        </w:rPr>
        <w:t xml:space="preserve"> Rada pro výzkum, vývoj a inovace (dále jen „Rada“) </w:t>
      </w:r>
      <w:r>
        <w:rPr>
          <w:rFonts w:ascii="Arial" w:hAnsi="Arial" w:cs="Arial"/>
          <w:sz w:val="22"/>
          <w:szCs w:val="22"/>
        </w:rPr>
        <w:t xml:space="preserve">na svém 347. zasedání dne 28. června 2019 </w:t>
      </w:r>
      <w:r w:rsidRPr="002D29EB">
        <w:rPr>
          <w:rFonts w:ascii="Arial" w:hAnsi="Arial" w:cs="Arial"/>
          <w:sz w:val="22"/>
          <w:szCs w:val="22"/>
        </w:rPr>
        <w:t>jako svůj odborný a</w:t>
      </w:r>
      <w:r>
        <w:rPr>
          <w:rFonts w:ascii="Arial" w:hAnsi="Arial" w:cs="Arial"/>
          <w:sz w:val="22"/>
          <w:szCs w:val="22"/>
        </w:rPr>
        <w:t> </w:t>
      </w:r>
      <w:r w:rsidRPr="002D29EB">
        <w:rPr>
          <w:rFonts w:ascii="Arial" w:hAnsi="Arial" w:cs="Arial"/>
          <w:sz w:val="22"/>
          <w:szCs w:val="22"/>
        </w:rPr>
        <w:t xml:space="preserve">poradní </w:t>
      </w:r>
      <w:r>
        <w:rPr>
          <w:rFonts w:ascii="Arial" w:hAnsi="Arial" w:cs="Arial"/>
          <w:sz w:val="22"/>
          <w:szCs w:val="22"/>
        </w:rPr>
        <w:t>orgán podle § 35 odst. 7 písm. b</w:t>
      </w:r>
      <w:r w:rsidRPr="002D29EB">
        <w:rPr>
          <w:rFonts w:ascii="Arial" w:hAnsi="Arial" w:cs="Arial"/>
          <w:sz w:val="22"/>
          <w:szCs w:val="22"/>
        </w:rPr>
        <w:t>) zákona č. 130/2002 Sb., o podpoře výzkumu, experimentálního vývoje a</w:t>
      </w:r>
      <w:r>
        <w:rPr>
          <w:rFonts w:ascii="Arial" w:hAnsi="Arial" w:cs="Arial"/>
          <w:sz w:val="22"/>
          <w:szCs w:val="22"/>
        </w:rPr>
        <w:t> </w:t>
      </w:r>
      <w:r w:rsidRPr="002D29EB">
        <w:rPr>
          <w:rFonts w:ascii="Arial" w:hAnsi="Arial" w:cs="Arial"/>
          <w:sz w:val="22"/>
          <w:szCs w:val="22"/>
        </w:rPr>
        <w:t>ino</w:t>
      </w:r>
      <w:r>
        <w:rPr>
          <w:rFonts w:ascii="Arial" w:hAnsi="Arial" w:cs="Arial"/>
          <w:sz w:val="22"/>
          <w:szCs w:val="22"/>
        </w:rPr>
        <w:t>vací z veřejných prostředků a o </w:t>
      </w:r>
      <w:r w:rsidRPr="002D29EB">
        <w:rPr>
          <w:rFonts w:ascii="Arial" w:hAnsi="Arial" w:cs="Arial"/>
          <w:sz w:val="22"/>
          <w:szCs w:val="22"/>
        </w:rPr>
        <w:t>změně některých souvisejících zákonů (zákon o</w:t>
      </w:r>
      <w:r>
        <w:rPr>
          <w:rFonts w:ascii="Arial" w:hAnsi="Arial" w:cs="Arial"/>
          <w:sz w:val="22"/>
          <w:szCs w:val="22"/>
        </w:rPr>
        <w:t> </w:t>
      </w:r>
      <w:r w:rsidRPr="002D29EB">
        <w:rPr>
          <w:rFonts w:ascii="Arial" w:hAnsi="Arial" w:cs="Arial"/>
          <w:sz w:val="22"/>
          <w:szCs w:val="22"/>
        </w:rPr>
        <w:t>podpoře výzkumu, experim</w:t>
      </w:r>
      <w:r>
        <w:rPr>
          <w:rFonts w:ascii="Arial" w:hAnsi="Arial" w:cs="Arial"/>
          <w:sz w:val="22"/>
          <w:szCs w:val="22"/>
        </w:rPr>
        <w:t>entálního vývoje a inovací), ve </w:t>
      </w:r>
      <w:r w:rsidRPr="002D29EB">
        <w:rPr>
          <w:rFonts w:ascii="Arial" w:hAnsi="Arial" w:cs="Arial"/>
          <w:sz w:val="22"/>
          <w:szCs w:val="22"/>
        </w:rPr>
        <w:t xml:space="preserve">znění </w:t>
      </w:r>
      <w:r>
        <w:rPr>
          <w:rFonts w:ascii="Arial" w:hAnsi="Arial" w:cs="Arial"/>
          <w:sz w:val="22"/>
          <w:szCs w:val="22"/>
        </w:rPr>
        <w:t>pozdějších předpisů.</w:t>
      </w:r>
    </w:p>
    <w:p w:rsidR="0016217B" w:rsidRDefault="002D4FC6" w:rsidP="00F451E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44453">
        <w:rPr>
          <w:rFonts w:ascii="Arial" w:hAnsi="Arial" w:cs="Arial"/>
          <w:sz w:val="22"/>
          <w:szCs w:val="22"/>
        </w:rPr>
        <w:t xml:space="preserve">Členy </w:t>
      </w:r>
      <w:r w:rsidR="00F451E5">
        <w:rPr>
          <w:rFonts w:ascii="Arial" w:hAnsi="Arial" w:cs="Arial"/>
          <w:sz w:val="22"/>
          <w:szCs w:val="22"/>
        </w:rPr>
        <w:t>poradního orgánu Rady</w:t>
      </w:r>
      <w:r w:rsidRPr="00444453">
        <w:rPr>
          <w:rFonts w:ascii="Arial" w:hAnsi="Arial" w:cs="Arial"/>
          <w:sz w:val="22"/>
          <w:szCs w:val="22"/>
        </w:rPr>
        <w:t xml:space="preserve"> jmenuje a odvolává na návrh Rady předseda Rady</w:t>
      </w:r>
      <w:r w:rsidR="004A3F4D" w:rsidRPr="00444453">
        <w:rPr>
          <w:rFonts w:ascii="Arial" w:hAnsi="Arial" w:cs="Arial"/>
          <w:sz w:val="22"/>
          <w:szCs w:val="22"/>
        </w:rPr>
        <w:t xml:space="preserve"> a</w:t>
      </w:r>
      <w:r w:rsidR="00F451E5">
        <w:rPr>
          <w:rFonts w:ascii="Arial" w:hAnsi="Arial" w:cs="Arial"/>
          <w:sz w:val="22"/>
          <w:szCs w:val="22"/>
        </w:rPr>
        <w:t> </w:t>
      </w:r>
      <w:r w:rsidR="004A3F4D" w:rsidRPr="00444453">
        <w:rPr>
          <w:rFonts w:ascii="Arial" w:hAnsi="Arial" w:cs="Arial"/>
          <w:sz w:val="22"/>
          <w:szCs w:val="22"/>
        </w:rPr>
        <w:t xml:space="preserve">jsou voleni v tajných volbách z předních odborníků pro danou oblast </w:t>
      </w:r>
    </w:p>
    <w:p w:rsidR="00C0038B" w:rsidRPr="00C0038B" w:rsidRDefault="00C0038B" w:rsidP="00C0038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0038B">
        <w:rPr>
          <w:rFonts w:ascii="Arial" w:hAnsi="Arial" w:cs="Arial"/>
          <w:sz w:val="22"/>
          <w:szCs w:val="22"/>
        </w:rPr>
        <w:t xml:space="preserve">Předsedou </w:t>
      </w:r>
      <w:r w:rsidR="00F451E5">
        <w:rPr>
          <w:rFonts w:ascii="Arial" w:hAnsi="Arial" w:cs="Arial"/>
          <w:sz w:val="22"/>
          <w:szCs w:val="22"/>
        </w:rPr>
        <w:t>Komise pro problematiku klimatu</w:t>
      </w:r>
      <w:r w:rsidRPr="00C0038B">
        <w:rPr>
          <w:rFonts w:ascii="Arial" w:hAnsi="Arial" w:cs="Arial"/>
          <w:sz w:val="22"/>
          <w:szCs w:val="22"/>
        </w:rPr>
        <w:t xml:space="preserve"> </w:t>
      </w:r>
      <w:r w:rsidR="00F451E5">
        <w:rPr>
          <w:rFonts w:ascii="Arial" w:hAnsi="Arial" w:cs="Arial"/>
          <w:sz w:val="22"/>
          <w:szCs w:val="22"/>
        </w:rPr>
        <w:t xml:space="preserve">(dále jen „Komise“) </w:t>
      </w:r>
      <w:r w:rsidRPr="00C0038B">
        <w:rPr>
          <w:rFonts w:ascii="Arial" w:hAnsi="Arial" w:cs="Arial"/>
          <w:sz w:val="22"/>
          <w:szCs w:val="22"/>
        </w:rPr>
        <w:t>je člen Rady, kterého na</w:t>
      </w:r>
      <w:r w:rsidR="00266688">
        <w:rPr>
          <w:rFonts w:ascii="Arial" w:hAnsi="Arial" w:cs="Arial"/>
          <w:sz w:val="22"/>
          <w:szCs w:val="22"/>
        </w:rPr>
        <w:t> </w:t>
      </w:r>
      <w:r w:rsidRPr="00C0038B">
        <w:rPr>
          <w:rFonts w:ascii="Arial" w:hAnsi="Arial" w:cs="Arial"/>
          <w:sz w:val="22"/>
          <w:szCs w:val="22"/>
        </w:rPr>
        <w:t xml:space="preserve">návrh Rady jmenuje předseda Rady. Předseda </w:t>
      </w:r>
      <w:r w:rsidR="00F451E5">
        <w:rPr>
          <w:rFonts w:ascii="Arial" w:hAnsi="Arial" w:cs="Arial"/>
          <w:sz w:val="22"/>
          <w:szCs w:val="22"/>
        </w:rPr>
        <w:t>Komise</w:t>
      </w:r>
      <w:r w:rsidRPr="00C0038B">
        <w:rPr>
          <w:rFonts w:ascii="Arial" w:hAnsi="Arial" w:cs="Arial"/>
          <w:sz w:val="22"/>
          <w:szCs w:val="22"/>
        </w:rPr>
        <w:t xml:space="preserve"> je současně členem </w:t>
      </w:r>
      <w:r w:rsidR="00F451E5">
        <w:rPr>
          <w:rFonts w:ascii="Arial" w:hAnsi="Arial" w:cs="Arial"/>
          <w:sz w:val="22"/>
          <w:szCs w:val="22"/>
        </w:rPr>
        <w:t>Komise</w:t>
      </w:r>
      <w:r w:rsidRPr="00C0038B">
        <w:rPr>
          <w:rFonts w:ascii="Arial" w:hAnsi="Arial" w:cs="Arial"/>
          <w:sz w:val="22"/>
          <w:szCs w:val="22"/>
        </w:rPr>
        <w:t>. Při</w:t>
      </w:r>
      <w:r w:rsidR="00266688">
        <w:rPr>
          <w:rFonts w:ascii="Arial" w:hAnsi="Arial" w:cs="Arial"/>
          <w:sz w:val="22"/>
          <w:szCs w:val="22"/>
        </w:rPr>
        <w:t> </w:t>
      </w:r>
      <w:r w:rsidRPr="00C0038B">
        <w:rPr>
          <w:rFonts w:ascii="Arial" w:hAnsi="Arial" w:cs="Arial"/>
          <w:sz w:val="22"/>
          <w:szCs w:val="22"/>
        </w:rPr>
        <w:t>výběru členů svých poradních orgánů Rada zohledňuje požadavek na vyrovnané zastoupení žen a mužů.</w:t>
      </w:r>
    </w:p>
    <w:p w:rsidR="00D92966" w:rsidRPr="0016217B" w:rsidRDefault="0016217B" w:rsidP="0016217B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E1559">
        <w:rPr>
          <w:rFonts w:ascii="Arial" w:eastAsia="Calibri" w:hAnsi="Arial" w:cs="Arial"/>
          <w:sz w:val="22"/>
          <w:szCs w:val="22"/>
        </w:rPr>
        <w:t xml:space="preserve">Dle Článku 4 odst. 1 Statutu </w:t>
      </w:r>
      <w:r w:rsidR="00F451E5" w:rsidRPr="001E1559">
        <w:rPr>
          <w:rFonts w:ascii="Arial" w:hAnsi="Arial" w:cs="Arial"/>
          <w:sz w:val="22"/>
          <w:szCs w:val="22"/>
        </w:rPr>
        <w:t>Komise pro problematiku klimatu</w:t>
      </w:r>
      <w:r w:rsidRPr="001E1559">
        <w:rPr>
          <w:rFonts w:ascii="Arial" w:eastAsia="Calibri" w:hAnsi="Arial" w:cs="Arial"/>
          <w:sz w:val="22"/>
          <w:szCs w:val="22"/>
        </w:rPr>
        <w:t xml:space="preserve"> má </w:t>
      </w:r>
      <w:r w:rsidR="00F451E5" w:rsidRPr="001E1559">
        <w:rPr>
          <w:rFonts w:ascii="Arial" w:eastAsia="Calibri" w:hAnsi="Arial" w:cs="Arial"/>
          <w:sz w:val="22"/>
          <w:szCs w:val="22"/>
        </w:rPr>
        <w:t>Komise</w:t>
      </w:r>
      <w:r w:rsidRPr="001E1559">
        <w:rPr>
          <w:rFonts w:ascii="Arial" w:eastAsia="Calibri" w:hAnsi="Arial" w:cs="Arial"/>
          <w:sz w:val="22"/>
          <w:szCs w:val="22"/>
        </w:rPr>
        <w:t xml:space="preserve"> 7 až 15 členů včetně předsedy. Navrhuje se proto zvolit maximálně </w:t>
      </w:r>
      <w:r w:rsidR="00F451E5" w:rsidRPr="001E1559">
        <w:rPr>
          <w:rFonts w:ascii="Arial" w:eastAsia="Calibri" w:hAnsi="Arial" w:cs="Arial"/>
          <w:sz w:val="22"/>
          <w:szCs w:val="22"/>
        </w:rPr>
        <w:t>10</w:t>
      </w:r>
      <w:r w:rsidRPr="001E1559">
        <w:rPr>
          <w:rFonts w:ascii="Arial" w:eastAsia="Calibri" w:hAnsi="Arial" w:cs="Arial"/>
          <w:sz w:val="22"/>
          <w:szCs w:val="22"/>
        </w:rPr>
        <w:t xml:space="preserve"> členů na první funkční období.</w:t>
      </w:r>
      <w:bookmarkStart w:id="0" w:name="_GoBack"/>
      <w:bookmarkEnd w:id="0"/>
    </w:p>
    <w:p w:rsidR="005445F2" w:rsidRPr="00444453" w:rsidRDefault="005445F2" w:rsidP="00444453">
      <w:pPr>
        <w:pStyle w:val="Default"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 w:rsidRPr="00444453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Postup volby členů odborných a poradních orgánů Rady je uveden v příloze </w:t>
      </w:r>
      <w:proofErr w:type="gramStart"/>
      <w:r w:rsidRPr="00444453">
        <w:rPr>
          <w:rFonts w:ascii="Arial" w:eastAsia="Times New Roman" w:hAnsi="Arial" w:cs="Arial"/>
          <w:color w:val="auto"/>
          <w:sz w:val="22"/>
          <w:szCs w:val="22"/>
          <w:lang w:eastAsia="cs-CZ"/>
        </w:rPr>
        <w:t>č.</w:t>
      </w:r>
      <w:r w:rsidR="000903B0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</w:t>
      </w:r>
      <w:r w:rsidRPr="00444453">
        <w:rPr>
          <w:rFonts w:ascii="Arial" w:eastAsia="Times New Roman" w:hAnsi="Arial" w:cs="Arial"/>
          <w:color w:val="auto"/>
          <w:sz w:val="22"/>
          <w:szCs w:val="22"/>
          <w:lang w:eastAsia="cs-CZ"/>
        </w:rPr>
        <w:t>2 Jednacího</w:t>
      </w:r>
      <w:proofErr w:type="gramEnd"/>
      <w:r w:rsidRPr="00444453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 řádu Rady. Volby jsou tajné a je nutná přítomnost </w:t>
      </w:r>
      <w:r w:rsidR="00F000A5">
        <w:rPr>
          <w:rFonts w:ascii="Arial" w:eastAsia="Times New Roman" w:hAnsi="Arial" w:cs="Arial"/>
          <w:color w:val="auto"/>
          <w:sz w:val="22"/>
          <w:szCs w:val="22"/>
          <w:lang w:eastAsia="cs-CZ"/>
        </w:rPr>
        <w:t>nadpoloviční většiny členů Rady.</w:t>
      </w:r>
    </w:p>
    <w:p w:rsidR="006A108D" w:rsidRPr="00444453" w:rsidRDefault="006A108D" w:rsidP="0044445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</w:p>
    <w:p w:rsidR="005445F2" w:rsidRPr="00F451E5" w:rsidRDefault="005445F2" w:rsidP="00444453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F451E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Volba členů</w:t>
      </w:r>
      <w:r w:rsidR="005400DD" w:rsidRPr="00F451E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</w:t>
      </w:r>
      <w:r w:rsidR="00F451E5" w:rsidRPr="00F451E5">
        <w:rPr>
          <w:rFonts w:ascii="Arial" w:hAnsi="Arial" w:cs="Arial"/>
          <w:sz w:val="22"/>
          <w:szCs w:val="22"/>
          <w:u w:val="single"/>
        </w:rPr>
        <w:t>Komise pro problematiku klimatu</w:t>
      </w:r>
      <w:r w:rsidRPr="00F451E5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: </w:t>
      </w:r>
    </w:p>
    <w:p w:rsidR="009A78CC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Členové Rady na každé volební listině označí křížkem jimi voleného kandidáta. Jakékoliv jiné označení je nepřípustné a taková listina bude považována za</w:t>
      </w:r>
      <w:r w:rsidR="007D772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neplatnou. </w:t>
      </w:r>
    </w:p>
    <w:p w:rsidR="009A78CC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Označen může být maximálně takový počet kandidátů, který má být zvolen. Listina obsahující více označených kandidátů, než má b</w:t>
      </w:r>
      <w:r w:rsidR="006A108D"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ýt volený počet, bude neplatná.</w:t>
      </w:r>
    </w:p>
    <w:p w:rsidR="009A78CC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Zvolen bude ten navržený kandidát, který obdrží nadpoloviční počet hlasů přítomných členů Rady. V případě, že nadpoloviční počet hlasů získá více kandidátů, než má být volený počet členů, budou zvoleni ti, kteř</w:t>
      </w:r>
      <w:r w:rsidR="006A108D"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í získali nejvyšší počet hlasů.</w:t>
      </w:r>
    </w:p>
    <w:p w:rsidR="00DD26E6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 kandidátů, kteří se se stejným počtem hlasů umístí na</w:t>
      </w:r>
      <w:r w:rsidR="00444453"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posledním místě, rozhodne předseda Rady (v případě jeho nepřítomnosti jím pověřený místopředseda Rady).</w:t>
      </w:r>
    </w:p>
    <w:p w:rsidR="004B7FCB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 případě, že nadpoloviční počet hlasů získá méně kandidátů, než má být počet volených členů, bude provedeno 2. kolo voleb. </w:t>
      </w:r>
    </w:p>
    <w:p w:rsidR="00EE694A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 2. kola postoupí dvojnásobný počet kandidátů než je počet zbývajících volných míst. </w:t>
      </w:r>
    </w:p>
    <w:p w:rsidR="006A108D" w:rsidRPr="009A78CC" w:rsidRDefault="005445F2" w:rsidP="009A78C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Ve 2. kole voleb budou do celkového počtu členů zvoleni ti navržení kandidáti, kteří obdrží nejvíce hlasů přítomných členů Rady. V případě rovnosti hlasů pro zvolené kandidáty, kteří se umístí na posledním místě, rozhodne předseda Rady (v případě jeho nepřítomnosti jím pověřený místopředseda Rady). </w:t>
      </w:r>
    </w:p>
    <w:p w:rsidR="006A108D" w:rsidRPr="00444453" w:rsidRDefault="006A108D" w:rsidP="0044445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A108D" w:rsidRDefault="006A108D" w:rsidP="00444453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444453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Volba předsedy</w:t>
      </w:r>
      <w:r w:rsidR="00A137A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</w:t>
      </w:r>
      <w:r w:rsidR="00F451E5" w:rsidRPr="00F451E5">
        <w:rPr>
          <w:rFonts w:ascii="Arial" w:hAnsi="Arial" w:cs="Arial"/>
          <w:sz w:val="22"/>
          <w:szCs w:val="22"/>
          <w:u w:val="single"/>
        </w:rPr>
        <w:t>Komise pro problematiku klimatu</w:t>
      </w:r>
      <w:r w:rsidRPr="00444453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: </w:t>
      </w:r>
    </w:p>
    <w:p w:rsidR="003A0E8E" w:rsidRDefault="003A0E8E" w:rsidP="009E37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20F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Členové Rady označí křížkem jedno jméno na funkci předsedy</w:t>
      </w:r>
      <w:r w:rsidR="00D152E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F451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Komise</w:t>
      </w:r>
      <w:r w:rsidRPr="00B20F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Listina s</w:t>
      </w:r>
      <w:r w:rsidR="005528D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B20F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označením více než 1 kandidáta ve sloupci pro volbu předsedy je neplatná. </w:t>
      </w:r>
    </w:p>
    <w:p w:rsidR="003A0E8E" w:rsidRDefault="00D152ED" w:rsidP="009E37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20F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Předsedou bude zvolen ten navržený kandidát, který získá nadpoloviční počet hlasů přítomných členů Rady.</w:t>
      </w:r>
    </w:p>
    <w:p w:rsidR="00D152ED" w:rsidRDefault="006A108D" w:rsidP="009E37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20F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 xml:space="preserve">Obdrží-li kandidáti na předsedu stejný počet hlasů, rozhodne o něm předseda Rady (v případě jeho nepřítomnosti jím pověřený místopředseda Rady).  </w:t>
      </w:r>
    </w:p>
    <w:p w:rsidR="00D152ED" w:rsidRDefault="006A108D" w:rsidP="009E37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20F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případě, že v 1. kole volby žádný kandidát nezíská nadpoloviční většinu hlasů, bude provedeno 2. kolo, do kterého postoupí 2 kandidáti s nejvyšším počtem hlasů z</w:t>
      </w:r>
      <w:r w:rsidR="005528D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B20F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předchozího kola (v případě rovnosti hlasů budou zařazeni všichni kandidáti se stejným počtem hlasů). </w:t>
      </w:r>
    </w:p>
    <w:p w:rsidR="006A108D" w:rsidRPr="00B20F96" w:rsidRDefault="006A108D" w:rsidP="00B20F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20F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 těchto kandidátů bude za předsedu zvolen ten, který získá ve 2. kole nejvyšší počet hlasů. Pokud kandidáti obdrží stejný počet hlasů, rozhodne předseda Rady (v</w:t>
      </w:r>
      <w:r w:rsidR="009E37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B20F9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případě jeho nepřítomnosti jím pověřený místopředseda Rady). V případě volby místopředsedy se postupuje podle odstavce obdobně. </w:t>
      </w:r>
    </w:p>
    <w:p w:rsidR="006A108D" w:rsidRPr="00444453" w:rsidRDefault="006A108D" w:rsidP="0044445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A108D" w:rsidRPr="00444453" w:rsidRDefault="006A108D" w:rsidP="0044445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4445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Volby organizačně zabezpečuje </w:t>
      </w:r>
      <w:r w:rsidR="00444453" w:rsidRPr="0044445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Odbor Rady, který</w:t>
      </w:r>
      <w:r w:rsidRPr="0044445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zároveň zpracuje výsledky voleb a o výsledku voleb sepíše protokol, který předá předsedovi Rady nebo jím pověřenému místopředsedovi Rady.</w:t>
      </w:r>
    </w:p>
    <w:p w:rsidR="005445F2" w:rsidRPr="00444453" w:rsidRDefault="005445F2" w:rsidP="0044445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A108D" w:rsidRPr="00444453" w:rsidRDefault="006A108D" w:rsidP="0044445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sectPr w:rsidR="006A108D" w:rsidRPr="00444453" w:rsidSect="005445F2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A7C" w:rsidRDefault="001F5A7C" w:rsidP="008F77F6">
      <w:r>
        <w:separator/>
      </w:r>
    </w:p>
  </w:endnote>
  <w:endnote w:type="continuationSeparator" w:id="0">
    <w:p w:rsidR="001F5A7C" w:rsidRDefault="001F5A7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A7C" w:rsidRDefault="001F5A7C" w:rsidP="008F77F6">
      <w:r>
        <w:separator/>
      </w:r>
    </w:p>
  </w:footnote>
  <w:footnote w:type="continuationSeparator" w:id="0">
    <w:p w:rsidR="001F5A7C" w:rsidRDefault="001F5A7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8D" w:rsidRPr="00344E58" w:rsidRDefault="006A108D" w:rsidP="006A108D">
    <w:pPr>
      <w:pStyle w:val="Zhlav"/>
      <w:jc w:val="right"/>
      <w:rPr>
        <w:rFonts w:ascii="Arial" w:hAnsi="Arial" w:cs="Arial"/>
        <w:b/>
        <w:color w:val="0070C0"/>
      </w:rPr>
    </w:pPr>
    <w:r>
      <w:tab/>
    </w:r>
    <w:r w:rsidR="000D692C">
      <w:rPr>
        <w:rFonts w:ascii="Arial" w:hAnsi="Arial" w:cs="Arial"/>
        <w:b/>
        <w:color w:val="0070C0"/>
      </w:rPr>
      <w:t>Příloha č. 2 k bodu 349/A2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2846332A"/>
    <w:multiLevelType w:val="hybridMultilevel"/>
    <w:tmpl w:val="ECD083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42B12F7A"/>
    <w:multiLevelType w:val="hybridMultilevel"/>
    <w:tmpl w:val="ED9622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58AE584E"/>
    <w:multiLevelType w:val="hybridMultilevel"/>
    <w:tmpl w:val="C5863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5"/>
  </w:num>
  <w:num w:numId="7">
    <w:abstractNumId w:val="3"/>
  </w:num>
  <w:num w:numId="8">
    <w:abstractNumId w:val="7"/>
  </w:num>
  <w:num w:numId="9">
    <w:abstractNumId w:val="14"/>
  </w:num>
  <w:num w:numId="10">
    <w:abstractNumId w:val="13"/>
  </w:num>
  <w:num w:numId="11">
    <w:abstractNumId w:val="16"/>
  </w:num>
  <w:num w:numId="12">
    <w:abstractNumId w:val="4"/>
  </w:num>
  <w:num w:numId="13">
    <w:abstractNumId w:val="2"/>
  </w:num>
  <w:num w:numId="14">
    <w:abstractNumId w:val="1"/>
  </w:num>
  <w:num w:numId="15">
    <w:abstractNumId w:val="9"/>
  </w:num>
  <w:num w:numId="16">
    <w:abstractNumId w:val="11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015"/>
    <w:rsid w:val="000121AC"/>
    <w:rsid w:val="00015B74"/>
    <w:rsid w:val="00017DD9"/>
    <w:rsid w:val="00027A0F"/>
    <w:rsid w:val="0004343A"/>
    <w:rsid w:val="00057A10"/>
    <w:rsid w:val="00067D82"/>
    <w:rsid w:val="000755BB"/>
    <w:rsid w:val="000903B0"/>
    <w:rsid w:val="000A5111"/>
    <w:rsid w:val="000B092F"/>
    <w:rsid w:val="000C4A33"/>
    <w:rsid w:val="000D33EF"/>
    <w:rsid w:val="000D692C"/>
    <w:rsid w:val="000F0B97"/>
    <w:rsid w:val="00116145"/>
    <w:rsid w:val="00120B2F"/>
    <w:rsid w:val="00135B40"/>
    <w:rsid w:val="00142296"/>
    <w:rsid w:val="00154A10"/>
    <w:rsid w:val="0016183E"/>
    <w:rsid w:val="0016217B"/>
    <w:rsid w:val="0017311F"/>
    <w:rsid w:val="001936CA"/>
    <w:rsid w:val="0019698A"/>
    <w:rsid w:val="001A30F8"/>
    <w:rsid w:val="001B0562"/>
    <w:rsid w:val="001B1981"/>
    <w:rsid w:val="001B5D65"/>
    <w:rsid w:val="001C1790"/>
    <w:rsid w:val="001C1BCA"/>
    <w:rsid w:val="001D278E"/>
    <w:rsid w:val="001E1088"/>
    <w:rsid w:val="001E1559"/>
    <w:rsid w:val="001E518C"/>
    <w:rsid w:val="001F5A7C"/>
    <w:rsid w:val="00201426"/>
    <w:rsid w:val="002109AB"/>
    <w:rsid w:val="00227D3F"/>
    <w:rsid w:val="0023268B"/>
    <w:rsid w:val="00232F21"/>
    <w:rsid w:val="00237006"/>
    <w:rsid w:val="00244420"/>
    <w:rsid w:val="00265A36"/>
    <w:rsid w:val="00266688"/>
    <w:rsid w:val="002946BE"/>
    <w:rsid w:val="00296CCF"/>
    <w:rsid w:val="00297913"/>
    <w:rsid w:val="002A1361"/>
    <w:rsid w:val="002A7238"/>
    <w:rsid w:val="002B1727"/>
    <w:rsid w:val="002D29EB"/>
    <w:rsid w:val="002D4FC6"/>
    <w:rsid w:val="002E2591"/>
    <w:rsid w:val="002F08BE"/>
    <w:rsid w:val="002F480E"/>
    <w:rsid w:val="00314ECE"/>
    <w:rsid w:val="00317CFF"/>
    <w:rsid w:val="00324CD0"/>
    <w:rsid w:val="003278F9"/>
    <w:rsid w:val="003410C8"/>
    <w:rsid w:val="00344E58"/>
    <w:rsid w:val="003504B1"/>
    <w:rsid w:val="00360293"/>
    <w:rsid w:val="0036518B"/>
    <w:rsid w:val="00366CE8"/>
    <w:rsid w:val="00367FC4"/>
    <w:rsid w:val="00377535"/>
    <w:rsid w:val="003811C0"/>
    <w:rsid w:val="00381203"/>
    <w:rsid w:val="00386056"/>
    <w:rsid w:val="00387B05"/>
    <w:rsid w:val="003A0E8E"/>
    <w:rsid w:val="003B324B"/>
    <w:rsid w:val="003C2A8E"/>
    <w:rsid w:val="003C40FE"/>
    <w:rsid w:val="003E3254"/>
    <w:rsid w:val="003F2EE0"/>
    <w:rsid w:val="003F4053"/>
    <w:rsid w:val="0040468E"/>
    <w:rsid w:val="004063CE"/>
    <w:rsid w:val="00415956"/>
    <w:rsid w:val="00426530"/>
    <w:rsid w:val="0042758E"/>
    <w:rsid w:val="0043706A"/>
    <w:rsid w:val="0044179B"/>
    <w:rsid w:val="00444453"/>
    <w:rsid w:val="004761CB"/>
    <w:rsid w:val="00477508"/>
    <w:rsid w:val="00482602"/>
    <w:rsid w:val="00492346"/>
    <w:rsid w:val="004A3F4D"/>
    <w:rsid w:val="004B3886"/>
    <w:rsid w:val="004B7FCB"/>
    <w:rsid w:val="004C32F3"/>
    <w:rsid w:val="004D2D6C"/>
    <w:rsid w:val="005004A9"/>
    <w:rsid w:val="00503FF7"/>
    <w:rsid w:val="00505092"/>
    <w:rsid w:val="00534026"/>
    <w:rsid w:val="00534299"/>
    <w:rsid w:val="005400DD"/>
    <w:rsid w:val="005445F2"/>
    <w:rsid w:val="005528DE"/>
    <w:rsid w:val="00571676"/>
    <w:rsid w:val="0057420D"/>
    <w:rsid w:val="005A3926"/>
    <w:rsid w:val="005C58FB"/>
    <w:rsid w:val="005D7997"/>
    <w:rsid w:val="005E43C2"/>
    <w:rsid w:val="0060089D"/>
    <w:rsid w:val="00610729"/>
    <w:rsid w:val="00616978"/>
    <w:rsid w:val="006173B4"/>
    <w:rsid w:val="0062447C"/>
    <w:rsid w:val="006270C5"/>
    <w:rsid w:val="00645780"/>
    <w:rsid w:val="00654EC4"/>
    <w:rsid w:val="00676476"/>
    <w:rsid w:val="006779E7"/>
    <w:rsid w:val="006942B5"/>
    <w:rsid w:val="006A108D"/>
    <w:rsid w:val="006B31DD"/>
    <w:rsid w:val="006D0CE4"/>
    <w:rsid w:val="006D3311"/>
    <w:rsid w:val="006D79CD"/>
    <w:rsid w:val="006E38EB"/>
    <w:rsid w:val="006E40D8"/>
    <w:rsid w:val="006F43DD"/>
    <w:rsid w:val="00704DAB"/>
    <w:rsid w:val="00710201"/>
    <w:rsid w:val="00710F06"/>
    <w:rsid w:val="00712273"/>
    <w:rsid w:val="00713F63"/>
    <w:rsid w:val="00714D3C"/>
    <w:rsid w:val="00715F0F"/>
    <w:rsid w:val="00720790"/>
    <w:rsid w:val="007478E7"/>
    <w:rsid w:val="007639F4"/>
    <w:rsid w:val="00764DBC"/>
    <w:rsid w:val="00791F51"/>
    <w:rsid w:val="007A6932"/>
    <w:rsid w:val="007C498C"/>
    <w:rsid w:val="007C5BFE"/>
    <w:rsid w:val="007D64A5"/>
    <w:rsid w:val="007D7725"/>
    <w:rsid w:val="007E2338"/>
    <w:rsid w:val="007E65F4"/>
    <w:rsid w:val="007E7E29"/>
    <w:rsid w:val="007F5951"/>
    <w:rsid w:val="00810AA0"/>
    <w:rsid w:val="008349FB"/>
    <w:rsid w:val="008431EF"/>
    <w:rsid w:val="00865015"/>
    <w:rsid w:val="00876F98"/>
    <w:rsid w:val="00890E5E"/>
    <w:rsid w:val="008950F5"/>
    <w:rsid w:val="008A101F"/>
    <w:rsid w:val="008A2C0F"/>
    <w:rsid w:val="008A5532"/>
    <w:rsid w:val="008C23E4"/>
    <w:rsid w:val="008D0383"/>
    <w:rsid w:val="008E6BE5"/>
    <w:rsid w:val="008F2B28"/>
    <w:rsid w:val="008F765E"/>
    <w:rsid w:val="008F77F6"/>
    <w:rsid w:val="00901812"/>
    <w:rsid w:val="009035D5"/>
    <w:rsid w:val="0091286A"/>
    <w:rsid w:val="009261E2"/>
    <w:rsid w:val="00936BE3"/>
    <w:rsid w:val="0095777C"/>
    <w:rsid w:val="0097085A"/>
    <w:rsid w:val="00971BC8"/>
    <w:rsid w:val="009758E5"/>
    <w:rsid w:val="00983E62"/>
    <w:rsid w:val="009875F7"/>
    <w:rsid w:val="0099078B"/>
    <w:rsid w:val="009A2A99"/>
    <w:rsid w:val="009A4A2D"/>
    <w:rsid w:val="009A52B3"/>
    <w:rsid w:val="009A78CC"/>
    <w:rsid w:val="009A7E37"/>
    <w:rsid w:val="009D6435"/>
    <w:rsid w:val="009E376A"/>
    <w:rsid w:val="009F03BA"/>
    <w:rsid w:val="00A048A0"/>
    <w:rsid w:val="00A120AD"/>
    <w:rsid w:val="00A137AA"/>
    <w:rsid w:val="00A1680C"/>
    <w:rsid w:val="00A203AA"/>
    <w:rsid w:val="00A279E4"/>
    <w:rsid w:val="00A42EAD"/>
    <w:rsid w:val="00A54D79"/>
    <w:rsid w:val="00A63C98"/>
    <w:rsid w:val="00A92BF6"/>
    <w:rsid w:val="00A95322"/>
    <w:rsid w:val="00A97A8C"/>
    <w:rsid w:val="00AA0A84"/>
    <w:rsid w:val="00AA396E"/>
    <w:rsid w:val="00AA6A69"/>
    <w:rsid w:val="00AD5458"/>
    <w:rsid w:val="00AD68D5"/>
    <w:rsid w:val="00AE772A"/>
    <w:rsid w:val="00B16526"/>
    <w:rsid w:val="00B20F96"/>
    <w:rsid w:val="00B26656"/>
    <w:rsid w:val="00B47A55"/>
    <w:rsid w:val="00B542B1"/>
    <w:rsid w:val="00B6353D"/>
    <w:rsid w:val="00B77DD8"/>
    <w:rsid w:val="00B85AD4"/>
    <w:rsid w:val="00B92CF5"/>
    <w:rsid w:val="00B96973"/>
    <w:rsid w:val="00BA35C0"/>
    <w:rsid w:val="00BA6EE3"/>
    <w:rsid w:val="00BB4744"/>
    <w:rsid w:val="00BC652D"/>
    <w:rsid w:val="00BD6413"/>
    <w:rsid w:val="00BF1715"/>
    <w:rsid w:val="00BF5616"/>
    <w:rsid w:val="00C0038B"/>
    <w:rsid w:val="00C016DD"/>
    <w:rsid w:val="00C110B4"/>
    <w:rsid w:val="00C37A21"/>
    <w:rsid w:val="00C427AE"/>
    <w:rsid w:val="00C50430"/>
    <w:rsid w:val="00C60733"/>
    <w:rsid w:val="00C6375A"/>
    <w:rsid w:val="00C730C4"/>
    <w:rsid w:val="00C82F5C"/>
    <w:rsid w:val="00C97C1A"/>
    <w:rsid w:val="00CB5844"/>
    <w:rsid w:val="00CC254E"/>
    <w:rsid w:val="00CC370F"/>
    <w:rsid w:val="00CD72F6"/>
    <w:rsid w:val="00CE1D46"/>
    <w:rsid w:val="00CF0116"/>
    <w:rsid w:val="00CF4C80"/>
    <w:rsid w:val="00D06BBE"/>
    <w:rsid w:val="00D152ED"/>
    <w:rsid w:val="00D2632F"/>
    <w:rsid w:val="00D27877"/>
    <w:rsid w:val="00D313FC"/>
    <w:rsid w:val="00D34C62"/>
    <w:rsid w:val="00D47D7F"/>
    <w:rsid w:val="00D52871"/>
    <w:rsid w:val="00D65076"/>
    <w:rsid w:val="00D66D12"/>
    <w:rsid w:val="00D92966"/>
    <w:rsid w:val="00DB165A"/>
    <w:rsid w:val="00DC3F1B"/>
    <w:rsid w:val="00DC5FE9"/>
    <w:rsid w:val="00DD26E6"/>
    <w:rsid w:val="00DD6E6A"/>
    <w:rsid w:val="00E171DD"/>
    <w:rsid w:val="00E233AD"/>
    <w:rsid w:val="00E2648D"/>
    <w:rsid w:val="00E32705"/>
    <w:rsid w:val="00E37433"/>
    <w:rsid w:val="00E61B2A"/>
    <w:rsid w:val="00E62326"/>
    <w:rsid w:val="00E7659E"/>
    <w:rsid w:val="00E82C93"/>
    <w:rsid w:val="00E82FF4"/>
    <w:rsid w:val="00E90863"/>
    <w:rsid w:val="00EA7B4F"/>
    <w:rsid w:val="00EB5ED8"/>
    <w:rsid w:val="00EC24A3"/>
    <w:rsid w:val="00EE0A1A"/>
    <w:rsid w:val="00EE4843"/>
    <w:rsid w:val="00EE4B9F"/>
    <w:rsid w:val="00EE6075"/>
    <w:rsid w:val="00EE694A"/>
    <w:rsid w:val="00F000A5"/>
    <w:rsid w:val="00F23445"/>
    <w:rsid w:val="00F250BE"/>
    <w:rsid w:val="00F4222F"/>
    <w:rsid w:val="00F451E5"/>
    <w:rsid w:val="00F47894"/>
    <w:rsid w:val="00F643B7"/>
    <w:rsid w:val="00F66271"/>
    <w:rsid w:val="00F83705"/>
    <w:rsid w:val="00F85F64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354C4-DE66-43FD-A1E6-1CF2DC89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540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39</cp:revision>
  <cp:lastPrinted>2018-05-16T11:44:00Z</cp:lastPrinted>
  <dcterms:created xsi:type="dcterms:W3CDTF">2018-06-25T10:15:00Z</dcterms:created>
  <dcterms:modified xsi:type="dcterms:W3CDTF">2019-09-23T07:38:00Z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